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附件14</w:t>
      </w:r>
    </w:p>
    <w:tbl>
      <w:tblPr>
        <w:tblStyle w:val="9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云服务信息安全管理体系认证申请资料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□信息安全适用性声明（SOA）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□隐私信息安全策略集（ISO/IEC 27017）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>隐私信息安全风险</w:t>
            </w:r>
            <w:r>
              <w:rPr>
                <w:rFonts w:hint="eastAsia" w:ascii="仿宋_GB2312" w:eastAsia="仿宋_GB2312"/>
                <w:sz w:val="24"/>
              </w:rPr>
              <w:t>准则（信息安全接受准则、信息安全风险评估实施准则）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认证客户对信息安全管理体系（ISMS）建立情况的说明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□已取得</w:t>
            </w:r>
            <w:r>
              <w:rPr>
                <w:rFonts w:ascii="仿宋_GB2312" w:eastAsia="仿宋_GB2312"/>
                <w:sz w:val="24"/>
              </w:rPr>
              <w:t>CQM</w:t>
            </w:r>
            <w:r>
              <w:rPr>
                <w:rFonts w:hint="eastAsia" w:ascii="仿宋_GB2312" w:eastAsia="仿宋_GB2312"/>
                <w:sz w:val="24"/>
              </w:rPr>
              <w:t>的</w:t>
            </w:r>
            <w:r>
              <w:rPr>
                <w:rFonts w:ascii="仿宋_GB2312" w:eastAsia="仿宋_GB2312"/>
                <w:sz w:val="24"/>
              </w:rPr>
              <w:t>ISMS证书并有效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□未获取</w:t>
            </w:r>
            <w:r>
              <w:rPr>
                <w:rFonts w:ascii="仿宋_GB2312" w:eastAsia="仿宋_GB2312"/>
                <w:sz w:val="24"/>
              </w:rPr>
              <w:t>CQM</w:t>
            </w:r>
            <w:r>
              <w:rPr>
                <w:rFonts w:hint="eastAsia" w:ascii="仿宋_GB2312" w:eastAsia="仿宋_GB2312"/>
                <w:sz w:val="24"/>
              </w:rPr>
              <w:t>的</w:t>
            </w:r>
            <w:r>
              <w:rPr>
                <w:rFonts w:ascii="仿宋_GB2312" w:eastAsia="仿宋_GB2312"/>
                <w:sz w:val="24"/>
              </w:rPr>
              <w:t>ISMS证书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但已建立了</w:t>
            </w:r>
            <w:r>
              <w:rPr>
                <w:rFonts w:hint="eastAsia" w:ascii="仿宋_GB2312" w:eastAsia="仿宋_GB2312"/>
                <w:sz w:val="24"/>
              </w:rPr>
              <w:t>ISMS，此次已同时申请了CQM的ISMS认证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□未获取</w:t>
            </w:r>
            <w:r>
              <w:rPr>
                <w:rFonts w:ascii="仿宋_GB2312" w:eastAsia="仿宋_GB2312"/>
                <w:sz w:val="24"/>
              </w:rPr>
              <w:t>CQM</w:t>
            </w:r>
            <w:r>
              <w:rPr>
                <w:rFonts w:hint="eastAsia" w:ascii="仿宋_GB2312" w:eastAsia="仿宋_GB2312"/>
                <w:sz w:val="24"/>
              </w:rPr>
              <w:t>的</w:t>
            </w:r>
            <w:r>
              <w:rPr>
                <w:rFonts w:ascii="仿宋_GB2312" w:eastAsia="仿宋_GB2312"/>
                <w:sz w:val="24"/>
              </w:rPr>
              <w:t>ISMS证书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但已建立了</w:t>
            </w:r>
            <w:r>
              <w:rPr>
                <w:rFonts w:hint="eastAsia" w:ascii="仿宋_GB2312" w:eastAsia="仿宋_GB2312"/>
                <w:sz w:val="24"/>
              </w:rPr>
              <w:t>ISMS，此次不申请CQM的ISMS认证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认证客户类型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云服务提供商</w:t>
            </w:r>
            <w:r>
              <w:rPr>
                <w:rFonts w:hint="eastAsia" w:ascii="宋体" w:hAnsi="宋体"/>
                <w:i/>
                <w:color w:val="A6A6A6" w:themeColor="background1" w:themeShade="A6"/>
                <w:szCs w:val="21"/>
              </w:rPr>
              <w:t>（是指提供基于云的平台、基础设施、应用程序或存储服务的组织）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云服务客户</w:t>
            </w:r>
            <w:r>
              <w:rPr>
                <w:rFonts w:hint="eastAsia" w:ascii="宋体" w:hAnsi="宋体"/>
                <w:i/>
                <w:color w:val="A6A6A6" w:themeColor="background1" w:themeShade="A6"/>
                <w:szCs w:val="21"/>
              </w:rPr>
              <w:t>（是指在业务中使用了由第三方公司提供的云服务的组织）</w:t>
            </w:r>
          </w:p>
          <w:p>
            <w:pPr>
              <w:spacing w:line="276" w:lineRule="auto"/>
              <w:ind w:firstLine="105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□云服务商和云服务客户两者</w:t>
            </w:r>
            <w:r>
              <w:rPr>
                <w:rFonts w:hint="eastAsia" w:ascii="宋体" w:hAnsi="宋体"/>
                <w:i/>
                <w:color w:val="A6A6A6" w:themeColor="background1" w:themeShade="A6"/>
                <w:szCs w:val="21"/>
              </w:rPr>
              <w:t>（同时包括以上2种情况的组织）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体系覆盖人员信息如下：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</w:tc>
      </w:tr>
    </w:tbl>
    <w:p>
      <w:pPr>
        <w:widowControl/>
        <w:jc w:val="left"/>
      </w:pPr>
    </w:p>
    <w:p>
      <w:pPr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" name="文本框 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437D3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19A4073"/>
    <w:rsid w:val="02722AEC"/>
    <w:rsid w:val="08B6318D"/>
    <w:rsid w:val="1A993951"/>
    <w:rsid w:val="1B053249"/>
    <w:rsid w:val="1D4665DA"/>
    <w:rsid w:val="22AB33E9"/>
    <w:rsid w:val="283823B6"/>
    <w:rsid w:val="29C72FC9"/>
    <w:rsid w:val="2AE7294F"/>
    <w:rsid w:val="2CA27013"/>
    <w:rsid w:val="30176BF4"/>
    <w:rsid w:val="32D822E7"/>
    <w:rsid w:val="3B424B80"/>
    <w:rsid w:val="3F235AF6"/>
    <w:rsid w:val="45B665F6"/>
    <w:rsid w:val="48C815A8"/>
    <w:rsid w:val="4CAD1A0B"/>
    <w:rsid w:val="5C407FDE"/>
    <w:rsid w:val="5F896624"/>
    <w:rsid w:val="60017C7C"/>
    <w:rsid w:val="619863BE"/>
    <w:rsid w:val="6AF33A46"/>
    <w:rsid w:val="6DE32331"/>
    <w:rsid w:val="75A4606B"/>
    <w:rsid w:val="7C5E6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6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11"/>
    <w:link w:val="1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6">
    <w:name w:val="标题 5 Char"/>
    <w:basedOn w:val="11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4</Pages>
  <Words>1369</Words>
  <Characters>1452</Characters>
  <Lines>5</Lines>
  <Paragraphs>1</Paragraphs>
  <TotalTime>0</TotalTime>
  <ScaleCrop>false</ScaleCrop>
  <LinksUpToDate>false</LinksUpToDate>
  <CharactersWithSpaces>1574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2023-05-29T03:08:57Z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4BD26A6CCABB415EAEAE5DF125E32F5F_13</vt:lpwstr>
  </property>
</Properties>
</file>