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  <w:highlight w:val="none"/>
        </w:rPr>
      </w:pPr>
      <w:r>
        <w:rPr>
          <w:rFonts w:hint="eastAsia" w:cs="宋体"/>
          <w:b/>
          <w:bCs/>
          <w:sz w:val="28"/>
          <w:szCs w:val="28"/>
          <w:highlight w:val="none"/>
        </w:rPr>
        <w:t>附件</w:t>
      </w:r>
      <w:r>
        <w:rPr>
          <w:b/>
          <w:bCs/>
          <w:sz w:val="28"/>
          <w:szCs w:val="28"/>
          <w:highlight w:val="none"/>
        </w:rPr>
        <w:t>17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  <w:t>隐私信息安全管理体系认证申请资料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□信息安全适用性声明（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SOA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□隐私信息安全策略集（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ISO/IEC 27701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□隐私信息安全风险准则（隐私信息安全接受准则、隐私信息安全风险评估实施准则）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□隐私政策。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highlight w:val="none"/>
              </w:rPr>
              <w:t>认证客户对信息安全管理体系（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highlight w:val="none"/>
              </w:rPr>
              <w:t>）建立情况的说明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□已取得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证书并有效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□未获取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证书，但已建立了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，此次已同时申请了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认证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□未获取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证书，但已建立了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，此次不申请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CQM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的</w:t>
            </w:r>
            <w:r>
              <w:rPr>
                <w:rFonts w:ascii="仿宋_GB2312" w:eastAsia="仿宋_GB2312" w:cs="仿宋_GB2312"/>
                <w:sz w:val="24"/>
                <w:szCs w:val="24"/>
                <w:highlight w:val="none"/>
              </w:rPr>
              <w:t>ISMS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highlight w:val="none"/>
              </w:rPr>
              <w:t>认证客户类型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highlight w:val="none"/>
              </w:rPr>
              <w:t>个人可识别信息（</w:t>
            </w:r>
            <w:r>
              <w:rPr>
                <w:rFonts w:ascii="宋体" w:hAnsi="宋体" w:cs="宋体"/>
                <w:highlight w:val="none"/>
              </w:rPr>
              <w:t>PII</w:t>
            </w:r>
            <w:r>
              <w:rPr>
                <w:rFonts w:hint="eastAsia" w:ascii="宋体" w:hAnsi="宋体" w:cs="宋体"/>
                <w:highlight w:val="none"/>
              </w:rPr>
              <w:t>）控制者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（决定</w:t>
            </w:r>
            <w:r>
              <w:rPr>
                <w:rFonts w:ascii="宋体" w:hAnsi="宋体" w:cs="宋体"/>
                <w:i/>
                <w:iCs/>
                <w:color w:val="A6A6A6"/>
                <w:highlight w:val="none"/>
              </w:rPr>
              <w:t>PII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处理的目的和手段的隐私利益相关方，而不是出于个人目的适用数据的自然人）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宋体" w:hAnsi="宋体" w:cs="宋体"/>
                <w:highlight w:val="none"/>
              </w:rPr>
              <w:t>PII</w:t>
            </w:r>
            <w:r>
              <w:rPr>
                <w:rFonts w:hint="eastAsia" w:ascii="宋体" w:hAnsi="宋体" w:cs="宋体"/>
                <w:highlight w:val="none"/>
              </w:rPr>
              <w:t>处理者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（代表</w:t>
            </w:r>
            <w:r>
              <w:rPr>
                <w:rFonts w:ascii="宋体" w:hAnsi="宋体" w:cs="宋体"/>
                <w:i/>
                <w:iCs/>
                <w:color w:val="A6A6A6"/>
                <w:highlight w:val="none"/>
              </w:rPr>
              <w:t>PII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控制者遵照其指示处理</w:t>
            </w:r>
            <w:r>
              <w:rPr>
                <w:rFonts w:ascii="宋体" w:hAnsi="宋体" w:cs="宋体"/>
                <w:i/>
                <w:iCs/>
                <w:color w:val="A6A6A6"/>
                <w:highlight w:val="none"/>
              </w:rPr>
              <w:t>PII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的隐私相关方）</w:t>
            </w:r>
          </w:p>
          <w:p>
            <w:pPr>
              <w:spacing w:line="276" w:lineRule="auto"/>
              <w:ind w:firstLine="105" w:firstLineChars="50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ascii="宋体" w:hAnsi="宋体" w:cs="宋体"/>
                <w:highlight w:val="none"/>
              </w:rPr>
              <w:t>PII</w:t>
            </w:r>
            <w:r>
              <w:rPr>
                <w:rFonts w:hint="eastAsia" w:ascii="宋体" w:hAnsi="宋体" w:cs="宋体"/>
                <w:highlight w:val="none"/>
              </w:rPr>
              <w:t>控制者和</w:t>
            </w:r>
            <w:r>
              <w:rPr>
                <w:rFonts w:ascii="宋体" w:hAnsi="宋体" w:cs="宋体"/>
                <w:highlight w:val="none"/>
              </w:rPr>
              <w:t>PII</w:t>
            </w:r>
            <w:r>
              <w:rPr>
                <w:rFonts w:hint="eastAsia" w:ascii="宋体" w:hAnsi="宋体" w:cs="宋体"/>
                <w:highlight w:val="none"/>
              </w:rPr>
              <w:t>处理者两者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（即是</w:t>
            </w:r>
            <w:r>
              <w:rPr>
                <w:rFonts w:ascii="宋体" w:hAnsi="宋体" w:cs="宋体"/>
                <w:i/>
                <w:iCs/>
                <w:color w:val="A6A6A6"/>
                <w:highlight w:val="none"/>
              </w:rPr>
              <w:t>PII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的控制者又是</w:t>
            </w:r>
            <w:r>
              <w:rPr>
                <w:rFonts w:ascii="宋体" w:hAnsi="宋体" w:cs="宋体"/>
                <w:i/>
                <w:iCs/>
                <w:color w:val="A6A6A6"/>
                <w:highlight w:val="none"/>
              </w:rPr>
              <w:t>PII</w:t>
            </w:r>
            <w:r>
              <w:rPr>
                <w:rFonts w:hint="eastAsia" w:ascii="宋体" w:hAnsi="宋体" w:cs="宋体"/>
                <w:i/>
                <w:iCs/>
                <w:color w:val="A6A6A6"/>
                <w:highlight w:val="none"/>
              </w:rPr>
              <w:t>的处理者）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rPr>
                <w:rFonts w:asci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体系覆盖人员信息如下：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  <w:r>
              <w:rPr>
                <w:rFonts w:ascii="宋体" w:hAnsi="宋体" w:cs="宋体"/>
                <w:highlight w:val="none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全职员工（不包括兼职、临时等类型人员）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全职员工数量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全职员工全年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  <w:r>
              <w:rPr>
                <w:rFonts w:ascii="宋体" w:hAnsi="宋体" w:cs="宋体"/>
                <w:highlight w:val="none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兼职人员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兼职人员总数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兼职人员平均每天工作的小时数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17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说明</w:t>
            </w:r>
          </w:p>
        </w:tc>
        <w:tc>
          <w:tcPr>
            <w:tcW w:w="8766" w:type="dxa"/>
            <w:gridSpan w:val="3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  <w:highlight w:val="none"/>
              </w:rPr>
              <w:t>请说明从事相似或重复工作的岗位及人数</w:t>
            </w:r>
          </w:p>
        </w:tc>
      </w:tr>
    </w:tbl>
    <w:p>
      <w:pPr>
        <w:widowControl/>
        <w:jc w:val="left"/>
        <w:rPr>
          <w:highlight w:val="none"/>
        </w:rPr>
      </w:pPr>
    </w:p>
    <w:p>
      <w:pPr>
        <w:widowControl/>
        <w:jc w:val="left"/>
        <w:rPr>
          <w:highlight w:val="none"/>
        </w:rPr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83823B6"/>
    <w:rsid w:val="29C72FC9"/>
    <w:rsid w:val="2AE7294F"/>
    <w:rsid w:val="2CA27013"/>
    <w:rsid w:val="30176BF4"/>
    <w:rsid w:val="32D822E7"/>
    <w:rsid w:val="3B424B80"/>
    <w:rsid w:val="3F235AF6"/>
    <w:rsid w:val="44F80CCD"/>
    <w:rsid w:val="45B665F6"/>
    <w:rsid w:val="48C815A8"/>
    <w:rsid w:val="4CAD1A0B"/>
    <w:rsid w:val="56094BBF"/>
    <w:rsid w:val="5C407FDE"/>
    <w:rsid w:val="5F896624"/>
    <w:rsid w:val="60017C7C"/>
    <w:rsid w:val="619863BE"/>
    <w:rsid w:val="6AF33A46"/>
    <w:rsid w:val="6DE32331"/>
    <w:rsid w:val="75A4606B"/>
    <w:rsid w:val="7C176ADC"/>
    <w:rsid w:val="7C5E69AC"/>
    <w:rsid w:val="7CE42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281</Words>
  <Characters>328</Characters>
  <Lines>5</Lines>
  <Paragraphs>1</Paragraphs>
  <TotalTime>0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2023-05-29T03:10:01Z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4A8E024F873E458CB43F6E3601B061BE_13</vt:lpwstr>
  </property>
</Properties>
</file>