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/>
          <w:sz w:val="18"/>
          <w:szCs w:val="18"/>
          <w:highlight w:val="none"/>
        </w:rPr>
      </w:pPr>
      <w:r>
        <w:rPr>
          <w:rFonts w:hint="eastAsia" w:eastAsia="黑体"/>
          <w:b/>
          <w:sz w:val="28"/>
          <w:highlight w:val="none"/>
        </w:rPr>
        <w:t>附件A：认证证书转换信息</w:t>
      </w:r>
      <w:r>
        <w:rPr>
          <w:rFonts w:hint="eastAsia" w:ascii="宋体" w:hAnsi="宋体"/>
          <w:sz w:val="18"/>
          <w:szCs w:val="18"/>
          <w:highlight w:val="none"/>
        </w:rPr>
        <w:t>（</w:t>
      </w:r>
      <w:r>
        <w:rPr>
          <w:rFonts w:hint="eastAsia" w:ascii="宋体" w:hAnsi="宋体"/>
          <w:i/>
          <w:sz w:val="18"/>
          <w:szCs w:val="18"/>
          <w:highlight w:val="none"/>
        </w:rPr>
        <w:t>涉及证书转换时，此表与申请书一起使用，由申请转换组织填写</w:t>
      </w:r>
      <w:r>
        <w:rPr>
          <w:rFonts w:hint="eastAsia" w:ascii="宋体" w:hAnsi="宋体"/>
          <w:sz w:val="18"/>
          <w:szCs w:val="18"/>
          <w:highlight w:val="none"/>
        </w:rPr>
        <w:t>）</w:t>
      </w:r>
    </w:p>
    <w:p>
      <w:pPr>
        <w:spacing w:line="360" w:lineRule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1. 申请</w:t>
      </w:r>
      <w:r>
        <w:rPr>
          <w:rFonts w:hint="eastAsia" w:ascii="宋体" w:hAnsi="宋体"/>
          <w:bCs/>
          <w:sz w:val="24"/>
          <w:highlight w:val="none"/>
        </w:rPr>
        <w:t>认证证书</w:t>
      </w:r>
      <w:r>
        <w:rPr>
          <w:rFonts w:hint="eastAsia" w:ascii="宋体" w:hAnsi="宋体"/>
          <w:sz w:val="24"/>
          <w:highlight w:val="none"/>
        </w:rPr>
        <w:t>转换组织名称：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  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2. 拟转换的管理体系基本信息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962"/>
        <w:gridCol w:w="2742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认证领域</w:t>
            </w:r>
          </w:p>
        </w:tc>
        <w:tc>
          <w:tcPr>
            <w:tcW w:w="3119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认证证书编号</w:t>
            </w:r>
          </w:p>
        </w:tc>
        <w:tc>
          <w:tcPr>
            <w:tcW w:w="2835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原颁证机构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□</w:t>
            </w:r>
          </w:p>
        </w:tc>
        <w:tc>
          <w:tcPr>
            <w:tcW w:w="3118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质量管理体系（□</w:t>
            </w:r>
            <w:r>
              <w:rPr>
                <w:rFonts w:ascii="宋体" w:hAnsi="宋体"/>
                <w:bCs/>
                <w:szCs w:val="21"/>
                <w:highlight w:val="none"/>
              </w:rPr>
              <w:t>QMS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□</w:t>
            </w:r>
            <w:r>
              <w:rPr>
                <w:rFonts w:ascii="宋体" w:hAnsi="宋体"/>
                <w:bCs/>
                <w:szCs w:val="21"/>
                <w:highlight w:val="none"/>
              </w:rPr>
              <w:t>EC9000）</w:t>
            </w:r>
          </w:p>
        </w:tc>
        <w:tc>
          <w:tcPr>
            <w:tcW w:w="3119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□</w:t>
            </w:r>
          </w:p>
        </w:tc>
        <w:tc>
          <w:tcPr>
            <w:tcW w:w="3118" w:type="dxa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环境管理体系（</w:t>
            </w:r>
            <w:r>
              <w:rPr>
                <w:rFonts w:ascii="宋体" w:hAnsi="宋体"/>
                <w:bCs/>
                <w:szCs w:val="21"/>
                <w:highlight w:val="none"/>
              </w:rPr>
              <w:t>EMS）</w:t>
            </w:r>
          </w:p>
        </w:tc>
        <w:tc>
          <w:tcPr>
            <w:tcW w:w="3119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□</w:t>
            </w:r>
          </w:p>
        </w:tc>
        <w:tc>
          <w:tcPr>
            <w:tcW w:w="3118" w:type="dxa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职业健康安全管理体系（</w:t>
            </w:r>
            <w:r>
              <w:rPr>
                <w:rFonts w:ascii="宋体" w:hAnsi="宋体"/>
                <w:bCs/>
                <w:szCs w:val="21"/>
                <w:highlight w:val="none"/>
              </w:rPr>
              <w:t>OHSMS）</w:t>
            </w:r>
          </w:p>
        </w:tc>
        <w:tc>
          <w:tcPr>
            <w:tcW w:w="3119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□</w:t>
            </w:r>
          </w:p>
        </w:tc>
        <w:tc>
          <w:tcPr>
            <w:tcW w:w="3118" w:type="dxa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食品安全管理体系（</w:t>
            </w:r>
            <w:r>
              <w:rPr>
                <w:rFonts w:ascii="宋体" w:hAnsi="宋体"/>
                <w:bCs/>
                <w:szCs w:val="21"/>
                <w:highlight w:val="none"/>
              </w:rPr>
              <w:t>FSMS）</w:t>
            </w:r>
          </w:p>
        </w:tc>
        <w:tc>
          <w:tcPr>
            <w:tcW w:w="3119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□</w:t>
            </w:r>
          </w:p>
        </w:tc>
        <w:tc>
          <w:tcPr>
            <w:tcW w:w="3118" w:type="dxa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食品</w:t>
            </w:r>
            <w:r>
              <w:rPr>
                <w:rFonts w:ascii="宋体" w:hAnsi="宋体"/>
                <w:bCs/>
                <w:szCs w:val="21"/>
                <w:highlight w:val="none"/>
              </w:rPr>
              <w:t>HACCP体系</w:t>
            </w:r>
          </w:p>
        </w:tc>
        <w:tc>
          <w:tcPr>
            <w:tcW w:w="3119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□</w:t>
            </w:r>
          </w:p>
        </w:tc>
        <w:tc>
          <w:tcPr>
            <w:tcW w:w="3118" w:type="dxa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乳制品</w:t>
            </w:r>
            <w:r>
              <w:rPr>
                <w:rFonts w:ascii="宋体" w:hAnsi="宋体"/>
                <w:bCs/>
                <w:szCs w:val="21"/>
                <w:highlight w:val="none"/>
              </w:rPr>
              <w:t>GMP</w:t>
            </w:r>
          </w:p>
        </w:tc>
        <w:tc>
          <w:tcPr>
            <w:tcW w:w="3119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□</w:t>
            </w:r>
          </w:p>
        </w:tc>
        <w:tc>
          <w:tcPr>
            <w:tcW w:w="3118" w:type="dxa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乳制品</w:t>
            </w:r>
            <w:r>
              <w:rPr>
                <w:rFonts w:ascii="宋体" w:hAnsi="宋体"/>
                <w:bCs/>
                <w:szCs w:val="21"/>
                <w:highlight w:val="none"/>
              </w:rPr>
              <w:t>HACCP体系</w:t>
            </w:r>
          </w:p>
        </w:tc>
        <w:tc>
          <w:tcPr>
            <w:tcW w:w="3119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□</w:t>
            </w:r>
          </w:p>
        </w:tc>
        <w:tc>
          <w:tcPr>
            <w:tcW w:w="3118" w:type="dxa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能源管理体系（</w:t>
            </w:r>
            <w:r>
              <w:rPr>
                <w:rFonts w:ascii="宋体" w:hAnsi="宋体"/>
                <w:bCs/>
                <w:szCs w:val="21"/>
                <w:highlight w:val="none"/>
              </w:rPr>
              <w:t>EnMS）</w:t>
            </w:r>
          </w:p>
        </w:tc>
        <w:tc>
          <w:tcPr>
            <w:tcW w:w="3119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□</w:t>
            </w:r>
          </w:p>
        </w:tc>
        <w:tc>
          <w:tcPr>
            <w:tcW w:w="3118" w:type="dxa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信息技术服务管理体系</w:t>
            </w:r>
            <w:r>
              <w:rPr>
                <w:rFonts w:ascii="宋体" w:hAnsi="宋体"/>
                <w:bCs/>
                <w:szCs w:val="21"/>
                <w:highlight w:val="none"/>
              </w:rPr>
              <w:t>(ITSMS)</w:t>
            </w:r>
          </w:p>
        </w:tc>
        <w:tc>
          <w:tcPr>
            <w:tcW w:w="3119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□</w:t>
            </w:r>
          </w:p>
        </w:tc>
        <w:tc>
          <w:tcPr>
            <w:tcW w:w="3118" w:type="dxa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信息安全管理体系（</w:t>
            </w:r>
            <w:r>
              <w:rPr>
                <w:rFonts w:ascii="宋体" w:hAnsi="宋体"/>
                <w:bCs/>
                <w:szCs w:val="21"/>
                <w:highlight w:val="none"/>
              </w:rPr>
              <w:t>ISMS）</w:t>
            </w:r>
          </w:p>
        </w:tc>
        <w:tc>
          <w:tcPr>
            <w:tcW w:w="3119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□</w:t>
            </w:r>
          </w:p>
        </w:tc>
        <w:tc>
          <w:tcPr>
            <w:tcW w:w="3118" w:type="dxa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highlight w:val="none"/>
              </w:rPr>
            </w:pPr>
          </w:p>
        </w:tc>
        <w:tc>
          <w:tcPr>
            <w:tcW w:w="3119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835" w:type="dxa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>
      <w:pPr>
        <w:rPr>
          <w:rFonts w:ascii="仿宋_GB2312" w:hAnsi="宋体" w:eastAsia="仿宋_GB2312"/>
          <w:bCs/>
          <w:sz w:val="24"/>
          <w:highlight w:val="none"/>
        </w:rPr>
      </w:pPr>
    </w:p>
    <w:p>
      <w:pPr>
        <w:spacing w:line="360" w:lineRule="auto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3．申请认证证书转换的原因：</w:t>
      </w:r>
    </w:p>
    <w:p>
      <w:pPr>
        <w:spacing w:line="360" w:lineRule="auto"/>
        <w:rPr>
          <w:rFonts w:ascii="宋体" w:hAnsi="宋体"/>
          <w:bCs/>
          <w:sz w:val="24"/>
          <w:highlight w:val="none"/>
        </w:rPr>
      </w:pPr>
    </w:p>
    <w:p>
      <w:pPr>
        <w:spacing w:line="360" w:lineRule="auto"/>
        <w:rPr>
          <w:rFonts w:ascii="仿宋_GB2312" w:hAnsi="宋体" w:eastAsia="仿宋_GB2312"/>
          <w:bCs/>
          <w:sz w:val="24"/>
          <w:highlight w:val="none"/>
        </w:rPr>
      </w:pPr>
    </w:p>
    <w:p>
      <w:pPr>
        <w:spacing w:line="276" w:lineRule="auto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4. 申请证书转换需要提供的文件清单：</w:t>
      </w:r>
    </w:p>
    <w:p>
      <w:pPr>
        <w:numPr>
          <w:ilvl w:val="0"/>
          <w:numId w:val="1"/>
        </w:numPr>
        <w:spacing w:line="276" w:lineRule="auto"/>
        <w:jc w:val="left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《方圆标志管理体系认证申请书》</w:t>
      </w:r>
    </w:p>
    <w:p>
      <w:pPr>
        <w:numPr>
          <w:ilvl w:val="0"/>
          <w:numId w:val="1"/>
        </w:numPr>
        <w:spacing w:line="276" w:lineRule="auto"/>
        <w:jc w:val="left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按《方圆标志管理体系认证申请书》各认证领域提交文件要求需要提交的文件</w:t>
      </w:r>
    </w:p>
    <w:p>
      <w:pPr>
        <w:numPr>
          <w:ilvl w:val="0"/>
          <w:numId w:val="1"/>
        </w:numPr>
        <w:spacing w:line="276" w:lineRule="auto"/>
        <w:jc w:val="left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原认证机构颁发的认证证书复印件</w:t>
      </w:r>
      <w:r>
        <w:rPr>
          <w:rFonts w:ascii="宋体" w:hAnsi="宋体"/>
          <w:bCs/>
          <w:sz w:val="24"/>
          <w:highlight w:val="none"/>
        </w:rPr>
        <w:t>(包括证书附件。能源管理体系证书还应包括“能源绩效及能耗核算边界的表述”内容)</w:t>
      </w:r>
    </w:p>
    <w:p>
      <w:pPr>
        <w:numPr>
          <w:ilvl w:val="0"/>
          <w:numId w:val="1"/>
        </w:numPr>
        <w:spacing w:line="276" w:lineRule="auto"/>
        <w:jc w:val="left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本认证周期的初次认证或再认证的审核报告、最近一次监督的审核报告</w:t>
      </w:r>
    </w:p>
    <w:p>
      <w:pPr>
        <w:numPr>
          <w:ilvl w:val="0"/>
          <w:numId w:val="1"/>
        </w:numPr>
        <w:spacing w:line="276" w:lineRule="auto"/>
        <w:jc w:val="left"/>
        <w:rPr>
          <w:rFonts w:asciiTheme="minorEastAsia" w:hAnsiTheme="minorEastAsia" w:eastAsiaTheme="minorEastAsia"/>
          <w:bCs/>
          <w:szCs w:val="21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最近一次审核的不符合报告及整改材料</w:t>
      </w:r>
    </w:p>
    <w:p>
      <w:pPr>
        <w:numPr>
          <w:ilvl w:val="0"/>
          <w:numId w:val="1"/>
        </w:numPr>
        <w:spacing w:line="276" w:lineRule="auto"/>
        <w:jc w:val="left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通过</w:t>
      </w:r>
      <w:r>
        <w:rPr>
          <w:rFonts w:hint="eastAsia" w:ascii="宋体" w:hAnsi="宋体"/>
          <w:bCs/>
          <w:sz w:val="24"/>
          <w:highlight w:val="none"/>
        </w:rPr>
        <w:t>《认证认可业务信息统一上报平台》</w:t>
      </w:r>
      <w:r>
        <w:rPr>
          <w:rFonts w:ascii="宋体" w:hAnsi="宋体"/>
          <w:bCs/>
          <w:sz w:val="24"/>
          <w:highlight w:val="none"/>
        </w:rPr>
        <w:t>转换备案的信息页截图</w:t>
      </w:r>
    </w:p>
    <w:p>
      <w:pPr>
        <w:pStyle w:val="15"/>
        <w:spacing w:line="360" w:lineRule="auto"/>
        <w:ind w:left="360" w:firstLine="5520" w:firstLineChars="2300"/>
        <w:rPr>
          <w:rFonts w:asciiTheme="minorEastAsia" w:hAnsiTheme="minorEastAsia" w:eastAsiaTheme="minorEastAsia"/>
          <w:bCs/>
          <w:sz w:val="24"/>
          <w:highlight w:val="none"/>
        </w:rPr>
      </w:pPr>
    </w:p>
    <w:p>
      <w:pPr>
        <w:pStyle w:val="15"/>
        <w:spacing w:line="360" w:lineRule="auto"/>
        <w:ind w:left="360" w:firstLine="5760" w:firstLineChars="2400"/>
        <w:rPr>
          <w:rFonts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申请组织（公章）</w:t>
      </w:r>
    </w:p>
    <w:p>
      <w:pPr>
        <w:rPr>
          <w:rFonts w:hint="eastAsia" w:ascii="宋体" w:hAnsi="宋体" w:cs="Arial"/>
          <w:bCs/>
          <w:sz w:val="24"/>
        </w:rPr>
      </w:pPr>
      <w:r>
        <w:rPr>
          <w:rFonts w:asciiTheme="minorEastAsia" w:hAnsiTheme="minorEastAsia" w:eastAsiaTheme="minorEastAsia"/>
          <w:bCs/>
          <w:sz w:val="24"/>
          <w:highlight w:val="none"/>
        </w:rPr>
        <w:t xml:space="preserve">                                                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 xml:space="preserve">    </w:t>
      </w:r>
      <w:bookmarkStart w:id="0" w:name="_GoBack"/>
      <w:bookmarkEnd w:id="0"/>
      <w:r>
        <w:rPr>
          <w:rFonts w:asciiTheme="minorEastAsia" w:hAnsiTheme="minorEastAsia" w:eastAsiaTheme="minorEastAsia"/>
          <w:bCs/>
          <w:sz w:val="24"/>
          <w:highlight w:val="none"/>
        </w:rPr>
        <w:t>年   月   日</w:t>
      </w:r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sz w:val="18"/>
            </w:rPr>
            <w:pict>
              <v:shape id="_x0000_s4097" o:spid="_x0000_s409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r>
                        <w:t xml:space="preserve">第 </w:t>
                      </w: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 xml:space="preserve"> 页 共 </w:t>
                      </w:r>
                      <w:r>
                        <w:fldChar w:fldCharType="begin"/>
                      </w:r>
                      <w:r>
                        <w:instrText xml:space="preserve"> NUMPAGES  \* MERGEFORMAT </w:instrText>
                      </w:r>
                      <w:r>
                        <w:fldChar w:fldCharType="separate"/>
                      </w:r>
                      <w:r>
                        <w:t>3</w:t>
                      </w:r>
                      <w:r>
                        <w:fldChar w:fldCharType="end"/>
                      </w:r>
                      <w:r>
                        <w:t xml:space="preserve"> 页</w:t>
                      </w:r>
                    </w:p>
                  </w:txbxContent>
                </v:textbox>
              </v:shape>
            </w:pic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4"/>
            <w:jc w:val="both"/>
            <w:rPr>
              <w:rFonts w:ascii="黑体" w:eastAsia="黑体"/>
            </w:rPr>
          </w:pPr>
        </w:p>
      </w:tc>
    </w:tr>
  </w:tbl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5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01B97"/>
    <w:multiLevelType w:val="multilevel"/>
    <w:tmpl w:val="0BA01B97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2722AEC"/>
    <w:rsid w:val="13C014F7"/>
    <w:rsid w:val="1C4E5E0D"/>
    <w:rsid w:val="29C72FC9"/>
    <w:rsid w:val="2AE7294F"/>
    <w:rsid w:val="2CA27013"/>
    <w:rsid w:val="37564CB4"/>
    <w:rsid w:val="409D1417"/>
    <w:rsid w:val="48C815A8"/>
    <w:rsid w:val="4CAD1A0B"/>
    <w:rsid w:val="592D756C"/>
    <w:rsid w:val="5F896624"/>
    <w:rsid w:val="6AF33A46"/>
    <w:rsid w:val="6DE32331"/>
    <w:rsid w:val="756D2B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4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3">
    <w:name w:val="无间隔 Char"/>
    <w:basedOn w:val="9"/>
    <w:link w:val="12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4">
    <w:name w:val="标题 5 Char"/>
    <w:basedOn w:val="9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336</Words>
  <Characters>344</Characters>
  <Lines>5</Lines>
  <Paragraphs>1</Paragraphs>
  <TotalTime>0</TotalTime>
  <ScaleCrop>false</ScaleCrop>
  <LinksUpToDate>false</LinksUpToDate>
  <CharactersWithSpaces>344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2023-05-29T05:27:56Z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1E3DA4A9AEB3495D9FBDAD87C74940A9</vt:lpwstr>
  </property>
</Properties>
</file>